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5F" w:rsidRDefault="007E215F" w:rsidP="005B20DB">
      <w:pPr>
        <w:spacing w:afterLines="50" w:line="520" w:lineRule="exact"/>
        <w:jc w:val="center"/>
        <w:rPr>
          <w:rFonts w:ascii="標楷體" w:eastAsia="標楷體" w:hAnsi="標楷體"/>
          <w:sz w:val="44"/>
          <w:szCs w:val="44"/>
        </w:rPr>
      </w:pPr>
      <w:r w:rsidRPr="002C6F06">
        <w:rPr>
          <w:rFonts w:ascii="標楷體" w:eastAsia="標楷體" w:hAnsi="標楷體" w:hint="eastAsia"/>
          <w:sz w:val="44"/>
          <w:szCs w:val="44"/>
        </w:rPr>
        <w:t>靜宜大學通識涵養課程</w:t>
      </w:r>
      <w:r w:rsidR="005B20DB">
        <w:rPr>
          <w:rFonts w:ascii="標楷體" w:eastAsia="標楷體" w:hAnsi="標楷體" w:hint="eastAsia"/>
          <w:sz w:val="44"/>
          <w:szCs w:val="44"/>
        </w:rPr>
        <w:t>開授及審查作業</w:t>
      </w:r>
      <w:r>
        <w:rPr>
          <w:rFonts w:ascii="標楷體" w:eastAsia="標楷體" w:hAnsi="標楷體" w:hint="eastAsia"/>
          <w:sz w:val="44"/>
          <w:szCs w:val="44"/>
        </w:rPr>
        <w:t>實施</w:t>
      </w:r>
      <w:r w:rsidRPr="002C6F06">
        <w:rPr>
          <w:rFonts w:ascii="標楷體" w:eastAsia="標楷體" w:hAnsi="標楷體" w:hint="eastAsia"/>
          <w:sz w:val="44"/>
          <w:szCs w:val="44"/>
        </w:rPr>
        <w:t>準則</w:t>
      </w:r>
    </w:p>
    <w:p w:rsidR="007E215F" w:rsidRPr="005C38D0" w:rsidRDefault="007E215F" w:rsidP="005C38D0">
      <w:pPr>
        <w:spacing w:line="240" w:lineRule="atLeast"/>
        <w:jc w:val="right"/>
        <w:rPr>
          <w:rFonts w:ascii="標楷體" w:eastAsia="標楷體" w:hAnsi="標楷體"/>
          <w:sz w:val="20"/>
          <w:szCs w:val="20"/>
        </w:rPr>
      </w:pPr>
      <w:r w:rsidRPr="005C38D0">
        <w:rPr>
          <w:rFonts w:ascii="標楷體" w:eastAsia="標楷體" w:hAnsi="標楷體" w:hint="eastAsia"/>
          <w:sz w:val="20"/>
          <w:szCs w:val="20"/>
        </w:rPr>
        <w:t>100年11月01日院務會議通過</w:t>
      </w:r>
    </w:p>
    <w:p w:rsidR="007E215F" w:rsidRPr="005C38D0" w:rsidRDefault="007E215F" w:rsidP="005C38D0">
      <w:pPr>
        <w:spacing w:line="240" w:lineRule="atLeast"/>
        <w:jc w:val="right"/>
        <w:rPr>
          <w:rFonts w:ascii="標楷體" w:eastAsia="標楷體" w:hAnsi="標楷體"/>
          <w:sz w:val="20"/>
          <w:szCs w:val="20"/>
        </w:rPr>
      </w:pPr>
      <w:r w:rsidRPr="005C38D0">
        <w:rPr>
          <w:rFonts w:ascii="標楷體" w:eastAsia="標楷體" w:hAnsi="標楷體" w:hint="eastAsia"/>
          <w:sz w:val="20"/>
          <w:szCs w:val="20"/>
        </w:rPr>
        <w:t>100年11月17日院務會議修正通過</w:t>
      </w:r>
    </w:p>
    <w:p w:rsidR="00171FBE" w:rsidRPr="005C38D0" w:rsidRDefault="00171FBE" w:rsidP="005C38D0">
      <w:pPr>
        <w:spacing w:line="240" w:lineRule="atLeast"/>
        <w:jc w:val="right"/>
        <w:rPr>
          <w:rFonts w:ascii="標楷體" w:eastAsia="標楷體" w:hAnsi="標楷體"/>
          <w:sz w:val="20"/>
          <w:szCs w:val="20"/>
        </w:rPr>
      </w:pPr>
      <w:r w:rsidRPr="005C38D0">
        <w:rPr>
          <w:rFonts w:ascii="標楷體" w:eastAsia="標楷體" w:hAnsi="標楷體" w:hint="eastAsia"/>
          <w:sz w:val="20"/>
          <w:szCs w:val="20"/>
        </w:rPr>
        <w:t>100年12月15日院務會議修正通過</w:t>
      </w:r>
    </w:p>
    <w:p w:rsidR="005C38D0" w:rsidRPr="005C38D0" w:rsidRDefault="005C38D0" w:rsidP="005C38D0">
      <w:pPr>
        <w:spacing w:line="240" w:lineRule="atLeast"/>
        <w:jc w:val="right"/>
        <w:rPr>
          <w:rFonts w:ascii="標楷體" w:eastAsia="標楷體" w:hAnsi="標楷體"/>
          <w:sz w:val="20"/>
          <w:szCs w:val="20"/>
        </w:rPr>
      </w:pPr>
      <w:r w:rsidRPr="005C38D0">
        <w:rPr>
          <w:rFonts w:ascii="標楷體" w:eastAsia="標楷體" w:hAnsi="標楷體" w:hint="eastAsia"/>
          <w:sz w:val="20"/>
          <w:szCs w:val="20"/>
        </w:rPr>
        <w:t>100年12月22日共同暨通識課程委員會通過</w:t>
      </w:r>
    </w:p>
    <w:p w:rsidR="007E215F" w:rsidRPr="007E215F" w:rsidRDefault="007E215F" w:rsidP="007E215F">
      <w:pPr>
        <w:pStyle w:val="a3"/>
        <w:numPr>
          <w:ilvl w:val="0"/>
          <w:numId w:val="1"/>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t>為規範本校通識涵養課程之開設，以符應本校全人陶成之教育目標，依據本校通識教育目標及「共同暨通識課程委員會設置辦法」第二條規定，訂定「靜宜大學通識涵養課程</w:t>
      </w:r>
      <w:r w:rsidR="00B3542A">
        <w:rPr>
          <w:rFonts w:ascii="標楷體" w:eastAsia="標楷體" w:hAnsi="標楷體" w:hint="eastAsia"/>
          <w:sz w:val="32"/>
          <w:szCs w:val="32"/>
        </w:rPr>
        <w:t>開授及審查作業</w:t>
      </w:r>
      <w:r w:rsidRPr="007E215F">
        <w:rPr>
          <w:rFonts w:ascii="標楷體" w:eastAsia="標楷體" w:hAnsi="標楷體" w:hint="eastAsia"/>
          <w:sz w:val="32"/>
          <w:szCs w:val="32"/>
        </w:rPr>
        <w:t>實施準則」（以下簡稱「本準則」）。</w:t>
      </w:r>
    </w:p>
    <w:p w:rsidR="007E215F" w:rsidRPr="007E215F" w:rsidRDefault="007E215F" w:rsidP="007E215F">
      <w:pPr>
        <w:pStyle w:val="a3"/>
        <w:numPr>
          <w:ilvl w:val="0"/>
          <w:numId w:val="1"/>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t>規劃開設之通識涵養課程，應符合下列規定：</w:t>
      </w:r>
    </w:p>
    <w:p w:rsidR="007E215F" w:rsidRPr="00171FBE" w:rsidRDefault="007E215F" w:rsidP="007E215F">
      <w:pPr>
        <w:pStyle w:val="a3"/>
        <w:numPr>
          <w:ilvl w:val="0"/>
          <w:numId w:val="2"/>
        </w:numPr>
        <w:spacing w:line="520" w:lineRule="exact"/>
        <w:ind w:leftChars="0" w:left="1757"/>
        <w:jc w:val="both"/>
        <w:rPr>
          <w:rFonts w:ascii="標楷體" w:eastAsia="標楷體" w:hAnsi="標楷體"/>
          <w:color w:val="000000" w:themeColor="text1"/>
          <w:sz w:val="32"/>
          <w:szCs w:val="32"/>
        </w:rPr>
      </w:pPr>
      <w:r w:rsidRPr="00171FBE">
        <w:rPr>
          <w:rFonts w:ascii="標楷體" w:eastAsia="標楷體" w:hAnsi="標楷體" w:hint="eastAsia"/>
          <w:color w:val="000000" w:themeColor="text1"/>
          <w:sz w:val="32"/>
          <w:szCs w:val="32"/>
        </w:rPr>
        <w:t>各學群課程需符合所屬學群目標外，更需融入公民素養，主要包括五大內涵：倫理素養、民主素養、美學素養、媒體素養、科學素養，各學群並依其學群教育目標規劃3-5門核心主軸課程</w:t>
      </w:r>
      <w:r w:rsidR="00457035" w:rsidRPr="00171FBE">
        <w:rPr>
          <w:rFonts w:ascii="標楷體" w:eastAsia="標楷體" w:hAnsi="標楷體" w:hint="eastAsia"/>
          <w:color w:val="000000" w:themeColor="text1"/>
          <w:sz w:val="32"/>
          <w:szCs w:val="32"/>
        </w:rPr>
        <w:t>(簡稱核心課程)</w:t>
      </w:r>
      <w:r w:rsidRPr="00171FBE">
        <w:rPr>
          <w:rFonts w:ascii="標楷體" w:eastAsia="標楷體" w:hAnsi="標楷體" w:hint="eastAsia"/>
          <w:color w:val="000000" w:themeColor="text1"/>
          <w:sz w:val="32"/>
          <w:szCs w:val="32"/>
        </w:rPr>
        <w:t>，供大一與大二學生從中選擇一門修習。另大三與大四學生修習通識選修課程。</w:t>
      </w:r>
      <w:r w:rsidR="00457035" w:rsidRPr="00171FBE">
        <w:rPr>
          <w:rFonts w:ascii="標楷體" w:eastAsia="標楷體" w:hAnsi="標楷體" w:hint="eastAsia"/>
          <w:color w:val="000000" w:themeColor="text1"/>
          <w:sz w:val="32"/>
          <w:szCs w:val="32"/>
        </w:rPr>
        <w:t>核心課程</w:t>
      </w:r>
      <w:r w:rsidR="00171FBE" w:rsidRPr="00171FBE">
        <w:rPr>
          <w:rFonts w:ascii="標楷體" w:eastAsia="標楷體" w:hAnsi="標楷體" w:hint="eastAsia"/>
          <w:color w:val="000000" w:themeColor="text1"/>
          <w:sz w:val="32"/>
          <w:szCs w:val="32"/>
        </w:rPr>
        <w:t>施</w:t>
      </w:r>
      <w:r w:rsidR="00457035" w:rsidRPr="00171FBE">
        <w:rPr>
          <w:rFonts w:ascii="標楷體" w:eastAsia="標楷體" w:hAnsi="標楷體" w:hint="eastAsia"/>
          <w:color w:val="000000" w:themeColor="text1"/>
          <w:sz w:val="32"/>
          <w:szCs w:val="32"/>
        </w:rPr>
        <w:t>行後，</w:t>
      </w:r>
      <w:r w:rsidR="00171FBE" w:rsidRPr="00171FBE">
        <w:rPr>
          <w:rFonts w:ascii="標楷體" w:eastAsia="標楷體" w:hAnsi="標楷體" w:hint="eastAsia"/>
          <w:color w:val="000000" w:themeColor="text1"/>
          <w:sz w:val="32"/>
          <w:szCs w:val="32"/>
        </w:rPr>
        <w:t>應</w:t>
      </w:r>
      <w:r w:rsidR="00457035" w:rsidRPr="00171FBE">
        <w:rPr>
          <w:rFonts w:ascii="標楷體" w:eastAsia="標楷體" w:hAnsi="標楷體" w:hint="eastAsia"/>
          <w:color w:val="000000" w:themeColor="text1"/>
          <w:sz w:val="32"/>
          <w:szCs w:val="32"/>
        </w:rPr>
        <w:t>定期檢討</w:t>
      </w:r>
      <w:r w:rsidR="00171FBE" w:rsidRPr="00171FBE">
        <w:rPr>
          <w:rFonts w:ascii="標楷體" w:eastAsia="標楷體" w:hAnsi="標楷體" w:hint="eastAsia"/>
          <w:color w:val="000000" w:themeColor="text1"/>
          <w:sz w:val="32"/>
          <w:szCs w:val="32"/>
        </w:rPr>
        <w:t>改進</w:t>
      </w:r>
      <w:r w:rsidR="00457035" w:rsidRPr="00171FBE">
        <w:rPr>
          <w:rFonts w:ascii="標楷體" w:eastAsia="標楷體" w:hAnsi="標楷體" w:hint="eastAsia"/>
          <w:color w:val="000000" w:themeColor="text1"/>
          <w:sz w:val="32"/>
          <w:szCs w:val="32"/>
        </w:rPr>
        <w:t>。</w:t>
      </w:r>
    </w:p>
    <w:p w:rsidR="007E215F" w:rsidRPr="007E215F" w:rsidRDefault="007E215F" w:rsidP="007E215F">
      <w:pPr>
        <w:pStyle w:val="a3"/>
        <w:numPr>
          <w:ilvl w:val="0"/>
          <w:numId w:val="2"/>
        </w:numPr>
        <w:spacing w:line="520" w:lineRule="exact"/>
        <w:ind w:leftChars="0" w:left="1757"/>
        <w:jc w:val="both"/>
        <w:rPr>
          <w:rFonts w:ascii="標楷體" w:eastAsia="標楷體" w:hAnsi="標楷體"/>
          <w:color w:val="E36C0A" w:themeColor="accent6" w:themeShade="BF"/>
          <w:sz w:val="32"/>
          <w:szCs w:val="32"/>
        </w:rPr>
      </w:pPr>
      <w:r w:rsidRPr="007E215F">
        <w:rPr>
          <w:rFonts w:ascii="標楷體" w:eastAsia="標楷體" w:hAnsi="標楷體" w:hint="eastAsia"/>
          <w:sz w:val="32"/>
          <w:szCs w:val="32"/>
        </w:rPr>
        <w:t>新開課程之授課教師需檢具「課程大綱」及過往參加通識研習工作坊等相關文件，依序送交學群課程研議小組、通識涵養課程審查小組、共同暨通識課程委員會及校課程委員會審議。</w:t>
      </w:r>
    </w:p>
    <w:p w:rsidR="007E215F" w:rsidRPr="007E215F" w:rsidRDefault="007E215F" w:rsidP="007E215F">
      <w:pPr>
        <w:pStyle w:val="a3"/>
        <w:numPr>
          <w:ilvl w:val="0"/>
          <w:numId w:val="1"/>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t>通識涵養課程之開設均需經本準則第二條第二款程序審查通過後，方得於次一學期（或學年）開課。</w:t>
      </w:r>
    </w:p>
    <w:p w:rsidR="007E215F" w:rsidRPr="007E215F" w:rsidRDefault="007E215F" w:rsidP="007E215F">
      <w:pPr>
        <w:pStyle w:val="a3"/>
        <w:spacing w:line="520" w:lineRule="exact"/>
        <w:ind w:leftChars="0" w:left="1440"/>
        <w:jc w:val="both"/>
        <w:rPr>
          <w:rFonts w:ascii="標楷體" w:eastAsia="標楷體" w:hAnsi="標楷體"/>
          <w:sz w:val="32"/>
          <w:szCs w:val="32"/>
        </w:rPr>
      </w:pPr>
      <w:r w:rsidRPr="007E215F">
        <w:rPr>
          <w:rFonts w:ascii="標楷體" w:eastAsia="標楷體" w:hAnsi="標楷體" w:hint="eastAsia"/>
          <w:sz w:val="32"/>
          <w:szCs w:val="32"/>
        </w:rPr>
        <w:t>通識涵養課程審核程序及權責單位如下：</w:t>
      </w:r>
    </w:p>
    <w:p w:rsidR="007E215F" w:rsidRPr="007E215F" w:rsidRDefault="007E215F" w:rsidP="007E215F">
      <w:pPr>
        <w:pStyle w:val="a3"/>
        <w:numPr>
          <w:ilvl w:val="0"/>
          <w:numId w:val="3"/>
        </w:numPr>
        <w:spacing w:line="520" w:lineRule="exact"/>
        <w:ind w:leftChars="0"/>
        <w:jc w:val="both"/>
        <w:rPr>
          <w:rFonts w:ascii="標楷體" w:eastAsia="標楷體" w:hAnsi="標楷體"/>
          <w:color w:val="FF0000"/>
          <w:sz w:val="32"/>
          <w:szCs w:val="32"/>
        </w:rPr>
      </w:pPr>
      <w:r w:rsidRPr="007E215F">
        <w:rPr>
          <w:rFonts w:ascii="標楷體" w:eastAsia="標楷體" w:hAnsi="標楷體" w:hint="eastAsia"/>
          <w:sz w:val="32"/>
          <w:szCs w:val="32"/>
        </w:rPr>
        <w:t>學群課程研議小組組成：由學群召集人邀請2-3名於該學群授課至少2年以上校內、外教師組成學群課程研議小組，規劃課程內容及方針。</w:t>
      </w:r>
    </w:p>
    <w:p w:rsidR="007E215F" w:rsidRPr="007E215F" w:rsidRDefault="007E215F" w:rsidP="007E215F">
      <w:pPr>
        <w:pStyle w:val="a3"/>
        <w:numPr>
          <w:ilvl w:val="0"/>
          <w:numId w:val="3"/>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t>通識涵養課程審查小組（以下簡稱課審小組）組成：由通識教育中心主任擔任召集人，邀集各學群召集人及各學群委派一名當學期於該學群任課之專任教師所組成。</w:t>
      </w:r>
    </w:p>
    <w:p w:rsidR="007E215F" w:rsidRPr="007E215F" w:rsidRDefault="007E215F" w:rsidP="007E215F">
      <w:pPr>
        <w:pStyle w:val="a3"/>
        <w:numPr>
          <w:ilvl w:val="0"/>
          <w:numId w:val="3"/>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t>各學群課程研議小組推薦之課程送交課審小組認可後，由通識教育中心邀請2名相關領域校外學者專家進行外審。</w:t>
      </w:r>
    </w:p>
    <w:p w:rsidR="007E215F" w:rsidRPr="007E215F" w:rsidRDefault="007E215F" w:rsidP="007E215F">
      <w:pPr>
        <w:pStyle w:val="a3"/>
        <w:numPr>
          <w:ilvl w:val="0"/>
          <w:numId w:val="3"/>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lastRenderedPageBreak/>
        <w:t>外審通過後，經課審小組確認審查結果，由通識教育中心依序送請共同暨通識課程委員會及校課程委員會審議。</w:t>
      </w:r>
    </w:p>
    <w:p w:rsidR="007E215F" w:rsidRPr="007E215F" w:rsidRDefault="007E215F" w:rsidP="007E215F">
      <w:pPr>
        <w:pStyle w:val="a3"/>
        <w:numPr>
          <w:ilvl w:val="0"/>
          <w:numId w:val="1"/>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t>通識涵養課程審定原則：</w:t>
      </w:r>
    </w:p>
    <w:p w:rsidR="007E215F" w:rsidRPr="007E215F" w:rsidRDefault="007E215F" w:rsidP="007E215F">
      <w:pPr>
        <w:pStyle w:val="a3"/>
        <w:numPr>
          <w:ilvl w:val="0"/>
          <w:numId w:val="4"/>
        </w:numPr>
        <w:spacing w:line="520" w:lineRule="exact"/>
        <w:ind w:leftChars="0" w:left="1757"/>
        <w:jc w:val="both"/>
        <w:rPr>
          <w:rFonts w:ascii="標楷體" w:eastAsia="標楷體" w:hAnsi="標楷體"/>
          <w:sz w:val="32"/>
          <w:szCs w:val="32"/>
        </w:rPr>
      </w:pPr>
      <w:r w:rsidRPr="007E215F">
        <w:rPr>
          <w:rFonts w:ascii="標楷體" w:eastAsia="標楷體" w:hAnsi="標楷體" w:hint="eastAsia"/>
          <w:sz w:val="32"/>
          <w:szCs w:val="32"/>
        </w:rPr>
        <w:t>公民素養五大內涵融入課程教案內容</w:t>
      </w:r>
    </w:p>
    <w:p w:rsidR="007E215F" w:rsidRPr="007E215F" w:rsidRDefault="007E215F" w:rsidP="007E215F">
      <w:pPr>
        <w:pStyle w:val="a3"/>
        <w:numPr>
          <w:ilvl w:val="0"/>
          <w:numId w:val="4"/>
        </w:numPr>
        <w:spacing w:line="520" w:lineRule="exact"/>
        <w:ind w:leftChars="0" w:left="1757"/>
        <w:jc w:val="both"/>
        <w:rPr>
          <w:rFonts w:ascii="標楷體" w:eastAsia="標楷體" w:hAnsi="標楷體"/>
          <w:sz w:val="32"/>
          <w:szCs w:val="32"/>
        </w:rPr>
      </w:pPr>
      <w:r w:rsidRPr="007E215F">
        <w:rPr>
          <w:rFonts w:ascii="標楷體" w:eastAsia="標楷體" w:hAnsi="標楷體" w:hint="eastAsia"/>
          <w:sz w:val="32"/>
          <w:szCs w:val="32"/>
        </w:rPr>
        <w:t>審酌該課程的課綱與教材、教學方法的特色</w:t>
      </w:r>
    </w:p>
    <w:p w:rsidR="007E215F" w:rsidRPr="007E215F" w:rsidRDefault="007E215F" w:rsidP="007E215F">
      <w:pPr>
        <w:pStyle w:val="a3"/>
        <w:numPr>
          <w:ilvl w:val="0"/>
          <w:numId w:val="4"/>
        </w:numPr>
        <w:spacing w:line="520" w:lineRule="exact"/>
        <w:ind w:leftChars="0" w:left="1757"/>
        <w:jc w:val="both"/>
        <w:rPr>
          <w:rFonts w:ascii="標楷體" w:eastAsia="標楷體" w:hAnsi="標楷體"/>
          <w:sz w:val="32"/>
          <w:szCs w:val="32"/>
        </w:rPr>
      </w:pPr>
      <w:r w:rsidRPr="007E215F">
        <w:rPr>
          <w:rFonts w:ascii="標楷體" w:eastAsia="標楷體" w:hAnsi="標楷體" w:hint="eastAsia"/>
          <w:sz w:val="32"/>
          <w:szCs w:val="32"/>
        </w:rPr>
        <w:t>審酌該課教師以往學生評量成績</w:t>
      </w:r>
    </w:p>
    <w:p w:rsidR="007E215F" w:rsidRPr="007E215F" w:rsidRDefault="007E215F" w:rsidP="007E215F">
      <w:pPr>
        <w:pStyle w:val="a3"/>
        <w:numPr>
          <w:ilvl w:val="0"/>
          <w:numId w:val="4"/>
        </w:numPr>
        <w:spacing w:line="520" w:lineRule="exact"/>
        <w:ind w:leftChars="0" w:left="1757"/>
        <w:jc w:val="both"/>
        <w:rPr>
          <w:rFonts w:ascii="標楷體" w:eastAsia="標楷體" w:hAnsi="標楷體"/>
          <w:sz w:val="32"/>
          <w:szCs w:val="32"/>
        </w:rPr>
      </w:pPr>
      <w:r w:rsidRPr="007E215F">
        <w:rPr>
          <w:rFonts w:ascii="標楷體" w:eastAsia="標楷體" w:hAnsi="標楷體" w:hint="eastAsia"/>
          <w:sz w:val="32"/>
          <w:szCs w:val="32"/>
        </w:rPr>
        <w:t>參酌教學者以往教學績效及研究成果等。</w:t>
      </w:r>
    </w:p>
    <w:p w:rsidR="007E215F" w:rsidRPr="007E215F" w:rsidRDefault="007E215F" w:rsidP="007E215F">
      <w:pPr>
        <w:pStyle w:val="a3"/>
        <w:numPr>
          <w:ilvl w:val="0"/>
          <w:numId w:val="1"/>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t>本準則未盡事宜，悉依學校相關規定及「共同暨通識課程委員會」會議決議辦理。</w:t>
      </w:r>
    </w:p>
    <w:p w:rsidR="007E215F" w:rsidRPr="007E215F" w:rsidRDefault="007E215F" w:rsidP="007E215F">
      <w:pPr>
        <w:pStyle w:val="a3"/>
        <w:numPr>
          <w:ilvl w:val="0"/>
          <w:numId w:val="1"/>
        </w:numPr>
        <w:spacing w:line="520" w:lineRule="exact"/>
        <w:ind w:leftChars="0"/>
        <w:jc w:val="both"/>
        <w:rPr>
          <w:rFonts w:ascii="標楷體" w:eastAsia="標楷體" w:hAnsi="標楷體"/>
          <w:sz w:val="32"/>
          <w:szCs w:val="32"/>
        </w:rPr>
      </w:pPr>
      <w:r w:rsidRPr="007E215F">
        <w:rPr>
          <w:rFonts w:ascii="標楷體" w:eastAsia="標楷體" w:hAnsi="標楷體" w:hint="eastAsia"/>
          <w:sz w:val="32"/>
          <w:szCs w:val="32"/>
        </w:rPr>
        <w:t>本準則經通識教育中心院級事務會議及「共同暨通識課程委員會」通過後實施，修正時亦同。</w:t>
      </w:r>
    </w:p>
    <w:p w:rsidR="003F1581" w:rsidRPr="007E215F" w:rsidRDefault="003F1581"/>
    <w:sectPr w:rsidR="003F1581" w:rsidRPr="007E215F" w:rsidSect="007E215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58A" w:rsidRDefault="004A558A" w:rsidP="00457035">
      <w:r>
        <w:separator/>
      </w:r>
    </w:p>
  </w:endnote>
  <w:endnote w:type="continuationSeparator" w:id="1">
    <w:p w:rsidR="004A558A" w:rsidRDefault="004A558A" w:rsidP="0045703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58A" w:rsidRDefault="004A558A" w:rsidP="00457035">
      <w:r>
        <w:separator/>
      </w:r>
    </w:p>
  </w:footnote>
  <w:footnote w:type="continuationSeparator" w:id="1">
    <w:p w:rsidR="004A558A" w:rsidRDefault="004A558A" w:rsidP="00457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A9E"/>
    <w:multiLevelType w:val="hybridMultilevel"/>
    <w:tmpl w:val="8E40BA72"/>
    <w:lvl w:ilvl="0" w:tplc="32F65DAE">
      <w:start w:val="1"/>
      <w:numFmt w:val="taiwaneseCountingThousand"/>
      <w:lvlText w:val="%1、"/>
      <w:lvlJc w:val="left"/>
      <w:pPr>
        <w:ind w:left="1757" w:hanging="480"/>
      </w:pPr>
      <w:rPr>
        <w:rFonts w:ascii="標楷體" w:eastAsia="標楷體" w:hAnsi="標楷體" w:cs="Times New Roman"/>
        <w:color w:val="auto"/>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
    <w:nsid w:val="17D15083"/>
    <w:multiLevelType w:val="hybridMultilevel"/>
    <w:tmpl w:val="EF1A3BD6"/>
    <w:lvl w:ilvl="0" w:tplc="F130502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88113F"/>
    <w:multiLevelType w:val="hybridMultilevel"/>
    <w:tmpl w:val="023E54FE"/>
    <w:lvl w:ilvl="0" w:tplc="38AC87FA">
      <w:start w:val="1"/>
      <w:numFmt w:val="taiwaneseCountingThousand"/>
      <w:lvlText w:val="第%1條"/>
      <w:lvlJc w:val="left"/>
      <w:pPr>
        <w:ind w:left="1440" w:hanging="1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0F41F14"/>
    <w:multiLevelType w:val="hybridMultilevel"/>
    <w:tmpl w:val="C652ABCE"/>
    <w:lvl w:ilvl="0" w:tplc="B3BA8DD8">
      <w:start w:val="1"/>
      <w:numFmt w:val="taiwaneseCountingThousand"/>
      <w:suff w:val="space"/>
      <w:lvlText w:val="%1、"/>
      <w:lvlJc w:val="left"/>
      <w:pPr>
        <w:ind w:left="2439" w:hanging="737"/>
      </w:pPr>
      <w:rPr>
        <w:rFonts w:hint="default"/>
        <w:color w:val="auto"/>
        <w:lang w:val="en-U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15F"/>
    <w:rsid w:val="000231D0"/>
    <w:rsid w:val="00171FBE"/>
    <w:rsid w:val="002E3328"/>
    <w:rsid w:val="003F1581"/>
    <w:rsid w:val="00457035"/>
    <w:rsid w:val="00463EE7"/>
    <w:rsid w:val="004A558A"/>
    <w:rsid w:val="00583136"/>
    <w:rsid w:val="005B20DB"/>
    <w:rsid w:val="005C38D0"/>
    <w:rsid w:val="005D0855"/>
    <w:rsid w:val="007B57D2"/>
    <w:rsid w:val="007E215F"/>
    <w:rsid w:val="00B3542A"/>
    <w:rsid w:val="00B92124"/>
    <w:rsid w:val="00C36299"/>
    <w:rsid w:val="00E36573"/>
    <w:rsid w:val="00EA1DB0"/>
    <w:rsid w:val="00F34020"/>
    <w:rsid w:val="00F40A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15F"/>
    <w:pPr>
      <w:ind w:leftChars="200" w:left="480"/>
    </w:pPr>
  </w:style>
  <w:style w:type="paragraph" w:styleId="a4">
    <w:name w:val="header"/>
    <w:basedOn w:val="a"/>
    <w:link w:val="a5"/>
    <w:uiPriority w:val="99"/>
    <w:semiHidden/>
    <w:unhideWhenUsed/>
    <w:rsid w:val="00457035"/>
    <w:pPr>
      <w:tabs>
        <w:tab w:val="center" w:pos="4153"/>
        <w:tab w:val="right" w:pos="8306"/>
      </w:tabs>
      <w:snapToGrid w:val="0"/>
    </w:pPr>
    <w:rPr>
      <w:sz w:val="20"/>
      <w:szCs w:val="20"/>
    </w:rPr>
  </w:style>
  <w:style w:type="character" w:customStyle="1" w:styleId="a5">
    <w:name w:val="頁首 字元"/>
    <w:basedOn w:val="a0"/>
    <w:link w:val="a4"/>
    <w:uiPriority w:val="99"/>
    <w:semiHidden/>
    <w:rsid w:val="00457035"/>
    <w:rPr>
      <w:rFonts w:ascii="Calibri" w:eastAsia="新細明體" w:hAnsi="Calibri" w:cs="Times New Roman"/>
      <w:sz w:val="20"/>
      <w:szCs w:val="20"/>
    </w:rPr>
  </w:style>
  <w:style w:type="paragraph" w:styleId="a6">
    <w:name w:val="footer"/>
    <w:basedOn w:val="a"/>
    <w:link w:val="a7"/>
    <w:uiPriority w:val="99"/>
    <w:semiHidden/>
    <w:unhideWhenUsed/>
    <w:rsid w:val="00457035"/>
    <w:pPr>
      <w:tabs>
        <w:tab w:val="center" w:pos="4153"/>
        <w:tab w:val="right" w:pos="8306"/>
      </w:tabs>
      <w:snapToGrid w:val="0"/>
    </w:pPr>
    <w:rPr>
      <w:sz w:val="20"/>
      <w:szCs w:val="20"/>
    </w:rPr>
  </w:style>
  <w:style w:type="character" w:customStyle="1" w:styleId="a7">
    <w:name w:val="頁尾 字元"/>
    <w:basedOn w:val="a0"/>
    <w:link w:val="a6"/>
    <w:uiPriority w:val="99"/>
    <w:semiHidden/>
    <w:rsid w:val="00457035"/>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2011-12-26T02:43:00Z</cp:lastPrinted>
  <dcterms:created xsi:type="dcterms:W3CDTF">2011-12-26T03:19:00Z</dcterms:created>
  <dcterms:modified xsi:type="dcterms:W3CDTF">2011-12-26T06:57:00Z</dcterms:modified>
</cp:coreProperties>
</file>